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96DC" w14:textId="417C660E" w:rsidR="0015439F" w:rsidRDefault="00FD53A4" w:rsidP="0015439F">
      <w:pPr>
        <w:jc w:val="center"/>
        <w:rPr>
          <w:color w:val="004A98"/>
        </w:rPr>
      </w:pPr>
      <w:r>
        <w:rPr>
          <w:noProof/>
        </w:rPr>
        <w:drawing>
          <wp:inline distT="0" distB="0" distL="0" distR="0" wp14:anchorId="0E994D4E" wp14:editId="6E2C9E5F">
            <wp:extent cx="1543050" cy="833017"/>
            <wp:effectExtent l="0" t="0" r="0" b="0"/>
            <wp:docPr id="1172497353" name="Picture 1" descr="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97353" name="Picture 1" descr="DEQ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3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C661" w14:textId="1FA46876" w:rsidR="00A52A22" w:rsidRDefault="00E1494C" w:rsidP="00A52A22">
      <w:pPr>
        <w:jc w:val="center"/>
        <w:rPr>
          <w:rFonts w:ascii="Calibri" w:eastAsiaTheme="majorEastAsia" w:hAnsi="Calibri" w:cstheme="majorBidi"/>
          <w:b/>
          <w:caps/>
          <w:color w:val="004A98"/>
          <w:sz w:val="36"/>
          <w:szCs w:val="32"/>
        </w:rPr>
      </w:pPr>
      <w:r>
        <w:rPr>
          <w:rFonts w:ascii="Calibri" w:eastAsiaTheme="majorEastAsia" w:hAnsi="Calibri" w:cstheme="majorBidi"/>
          <w:b/>
          <w:caps/>
          <w:color w:val="004A98"/>
          <w:sz w:val="36"/>
          <w:szCs w:val="32"/>
        </w:rPr>
        <w:t>Phase 1 Environemntal Site Assessment</w:t>
      </w:r>
    </w:p>
    <w:p w14:paraId="4BC538AA" w14:textId="4BE8BCF9" w:rsidR="00262CFE" w:rsidRDefault="00394D84" w:rsidP="00394D84">
      <w:pPr>
        <w:jc w:val="center"/>
      </w:pPr>
      <w:r>
        <w:rPr>
          <w:color w:val="004A98"/>
        </w:rPr>
        <w:t>Fact Sheet SWP-1</w:t>
      </w:r>
      <w:r w:rsidR="00427253">
        <w:rPr>
          <w:color w:val="004A98"/>
        </w:rPr>
        <w:t>2</w:t>
      </w:r>
      <w:r w:rsidR="00E1494C">
        <w:rPr>
          <w:color w:val="004A98"/>
        </w:rPr>
        <w:t>1</w:t>
      </w:r>
    </w:p>
    <w:p w14:paraId="1D6AF247" w14:textId="19BE69E1" w:rsidR="00FD53A4" w:rsidRDefault="00A246ED" w:rsidP="00FD53A4">
      <w:pPr>
        <w:rPr>
          <w:color w:val="004A9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98022C5" wp14:editId="2C67213A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8086725" cy="266700"/>
                <wp:effectExtent l="0" t="38100" r="47625" b="0"/>
                <wp:wrapNone/>
                <wp:docPr id="1233426964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725" cy="266700"/>
                          <a:chOff x="0" y="0"/>
                          <a:chExt cx="8086725" cy="266700"/>
                        </a:xfrm>
                      </wpg:grpSpPr>
                      <wps:wsp>
                        <wps:cNvPr id="1404864824" name="Straight Connector 8"/>
                        <wps:cNvCnPr/>
                        <wps:spPr>
                          <a:xfrm>
                            <a:off x="0" y="0"/>
                            <a:ext cx="808672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9AD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4867136" name="Isosceles Triangle 9"/>
                        <wps:cNvSpPr/>
                        <wps:spPr>
                          <a:xfrm rot="10800000">
                            <a:off x="3857625" y="38100"/>
                            <a:ext cx="428625" cy="228600"/>
                          </a:xfrm>
                          <a:prstGeom prst="triangle">
                            <a:avLst/>
                          </a:prstGeom>
                          <a:solidFill>
                            <a:srgbClr val="009A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18504" id="Group 10" o:spid="_x0000_s1026" alt="&quot;&quot;" style="position:absolute;margin-left:0;margin-top:11.8pt;width:636.75pt;height:21pt;z-index:251659776;mso-position-horizontal:center;mso-position-horizontal-relative:margin" coordsize="8086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">
                <v:line id="Straight Connector 8" o:spid="_x0000_s1027" style="position:absolute;visibility:visible;mso-wrap-style:square" from="0,0" to="808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" strokecolor="#009ade" strokeweight="6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9" o:spid="_x0000_s1028" type="#_x0000_t5" style="position:absolute;left:38576;top:381;width:4286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" fillcolor="#009ade" stroked="f" strokeweight="1pt"/>
                <w10:wrap anchorx="margin"/>
              </v:group>
            </w:pict>
          </mc:Fallback>
        </mc:AlternateContent>
      </w:r>
    </w:p>
    <w:p w14:paraId="2ADD6097" w14:textId="2FF0C30C" w:rsidR="00FD53A4" w:rsidRDefault="00FD53A4" w:rsidP="00FD53A4">
      <w:pPr>
        <w:rPr>
          <w:color w:val="004A98"/>
        </w:rPr>
      </w:pPr>
    </w:p>
    <w:p w14:paraId="6B674B19" w14:textId="77777777" w:rsidR="00CB4DB7" w:rsidRDefault="00CB4DB7" w:rsidP="00441F2F">
      <w:pPr>
        <w:rPr>
          <w:color w:val="004A98"/>
        </w:rPr>
      </w:pPr>
    </w:p>
    <w:p w14:paraId="0D40A9C1" w14:textId="77777777" w:rsidR="00E1494C" w:rsidRPr="00E1494C" w:rsidRDefault="00E1494C" w:rsidP="00E1494C">
      <w:pPr>
        <w:rPr>
          <w:iCs/>
          <w:color w:val="004A98"/>
        </w:rPr>
      </w:pPr>
      <w:r w:rsidRPr="00E1494C">
        <w:rPr>
          <w:iCs/>
          <w:color w:val="004A98"/>
        </w:rPr>
        <w:t xml:space="preserve">A Phase I Environmental Site Assessment (ESA) is a tool to determine whether a property may be contaminated. The purpose is to gather enough information to develop a professional opinion about the environmental condition of the property and to identify actual or potential environmental contamination.  Completing a Phase I ESA can create a safe harbor known as the “Innocent Landowner Defense” relating to contaminants within the scope of the Comprehensive Environmental Response, Compensation and Liability Act (CERCLA). The Phase I ESA may also be useful in any situation where contaminated land or property may be a concern. </w:t>
      </w:r>
    </w:p>
    <w:p w14:paraId="04BCF6CE" w14:textId="77777777" w:rsidR="00E1494C" w:rsidRPr="00E1494C" w:rsidRDefault="00E1494C" w:rsidP="00E1494C">
      <w:pPr>
        <w:rPr>
          <w:iCs/>
          <w:color w:val="004A98"/>
        </w:rPr>
      </w:pPr>
    </w:p>
    <w:p w14:paraId="2F1BB167" w14:textId="6054FE52" w:rsidR="00782811" w:rsidRDefault="00E1494C" w:rsidP="00E1494C">
      <w:pPr>
        <w:rPr>
          <w:iCs/>
          <w:color w:val="004A98"/>
        </w:rPr>
      </w:pPr>
      <w:r w:rsidRPr="00E1494C">
        <w:rPr>
          <w:iCs/>
          <w:color w:val="004A98"/>
        </w:rPr>
        <w:t>A Phase I ESA typically consists of a document search and review, site inspection, and a summary report. The results of a Phase I ESA may or may not lead to a Phase II ESA, which includes collecting soil and groundwater samples and having them analyzed for potential contaminants.</w:t>
      </w:r>
    </w:p>
    <w:p w14:paraId="4C6A56AD" w14:textId="77777777" w:rsidR="00E1494C" w:rsidRDefault="00E1494C" w:rsidP="00E1494C">
      <w:pPr>
        <w:rPr>
          <w:rStyle w:val="Hyperlink"/>
          <w:color w:val="004A98"/>
          <w:u w:val="none"/>
        </w:rPr>
      </w:pPr>
    </w:p>
    <w:p w14:paraId="6E560318" w14:textId="4C5B85D2" w:rsidR="00A52A22" w:rsidRPr="00A52A22" w:rsidRDefault="00E1494C" w:rsidP="00A52A22">
      <w:pP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</w:pPr>
      <w: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  <w:t>Document search/ review includes:</w:t>
      </w:r>
    </w:p>
    <w:p w14:paraId="23574CF2" w14:textId="77777777" w:rsidR="00E1494C" w:rsidRPr="00E1494C" w:rsidRDefault="00E1494C" w:rsidP="00E1494C">
      <w:pPr>
        <w:numPr>
          <w:ilvl w:val="0"/>
          <w:numId w:val="20"/>
        </w:numPr>
        <w:rPr>
          <w:iCs/>
          <w:color w:val="004A98"/>
        </w:rPr>
      </w:pPr>
      <w:r w:rsidRPr="00E1494C">
        <w:rPr>
          <w:iCs/>
          <w:color w:val="004A98"/>
        </w:rPr>
        <w:t xml:space="preserve">A look at historical maps such as Sanborn fire insurance maps and more recent county planning office maps to identify past uses of the parcel and adjacent parcels.  </w:t>
      </w:r>
    </w:p>
    <w:p w14:paraId="672F9FD3" w14:textId="77777777" w:rsidR="00E1494C" w:rsidRPr="00E1494C" w:rsidRDefault="00E1494C" w:rsidP="00E1494C">
      <w:pPr>
        <w:numPr>
          <w:ilvl w:val="0"/>
          <w:numId w:val="20"/>
        </w:numPr>
        <w:rPr>
          <w:iCs/>
          <w:color w:val="004A98"/>
        </w:rPr>
      </w:pPr>
      <w:r w:rsidRPr="00E1494C">
        <w:rPr>
          <w:iCs/>
          <w:color w:val="004A98"/>
        </w:rPr>
        <w:t>Additional efforts to uncover special knowledge about the property which may be gleaned from interviews with current or past owners and tenants.</w:t>
      </w:r>
    </w:p>
    <w:p w14:paraId="29135F89" w14:textId="77777777" w:rsidR="00E1494C" w:rsidRPr="00E1494C" w:rsidRDefault="00E1494C" w:rsidP="00E1494C">
      <w:pPr>
        <w:numPr>
          <w:ilvl w:val="0"/>
          <w:numId w:val="20"/>
        </w:numPr>
        <w:rPr>
          <w:iCs/>
          <w:color w:val="004A98"/>
        </w:rPr>
      </w:pPr>
      <w:r w:rsidRPr="00E1494C">
        <w:rPr>
          <w:iCs/>
          <w:color w:val="004A98"/>
        </w:rPr>
        <w:t>Environmental database queries. This is a location-based query of environmental databases which track sites related to hazardous material handlers or generators, contaminated cleanup sites, hazardous waste spills, or similar.</w:t>
      </w:r>
    </w:p>
    <w:p w14:paraId="6744C43D" w14:textId="77777777" w:rsidR="00E1494C" w:rsidRPr="00E1494C" w:rsidRDefault="00E1494C" w:rsidP="00E1494C">
      <w:pPr>
        <w:numPr>
          <w:ilvl w:val="0"/>
          <w:numId w:val="20"/>
        </w:numPr>
        <w:rPr>
          <w:iCs/>
          <w:color w:val="004A98"/>
        </w:rPr>
      </w:pPr>
      <w:r w:rsidRPr="00E1494C">
        <w:rPr>
          <w:bCs/>
          <w:iCs/>
          <w:color w:val="004A98"/>
        </w:rPr>
        <w:t>Regulatory agency file review</w:t>
      </w:r>
      <w:r w:rsidRPr="00E1494C">
        <w:rPr>
          <w:iCs/>
          <w:color w:val="004A98"/>
        </w:rPr>
        <w:t> to discover any indication of known problems. This looks at documents from all appropriate jurisdictions including local, county, state, federal or tribal.</w:t>
      </w:r>
    </w:p>
    <w:p w14:paraId="1E3FC24B" w14:textId="77777777" w:rsidR="004B06EB" w:rsidRPr="004B06EB" w:rsidRDefault="004B06EB" w:rsidP="004B06EB">
      <w:pPr>
        <w:rPr>
          <w:color w:val="004A98"/>
        </w:rPr>
      </w:pPr>
    </w:p>
    <w:p w14:paraId="27AAF506" w14:textId="1C0F3E2B" w:rsidR="00A52A22" w:rsidRPr="00A52A22" w:rsidRDefault="00E1494C" w:rsidP="00A52A22">
      <w:pP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</w:pPr>
      <w: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  <w:t>Site inspection identifies possible contamination on the property it near it and looks at:</w:t>
      </w:r>
    </w:p>
    <w:p w14:paraId="67ED76E3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Heat sources such as oil, electric, natural gas or propane.</w:t>
      </w:r>
    </w:p>
    <w:p w14:paraId="1BF6D1E3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Underground and aboveground storage tanks, including fill ports, vent pipes, feed and return lines.</w:t>
      </w:r>
    </w:p>
    <w:p w14:paraId="66DEA8C3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Plumbing, including sewer, on-site wastewater treatment, drywells and on-site water wells, roof drainage, sump pumps, floor drains and fixtures.</w:t>
      </w:r>
    </w:p>
    <w:p w14:paraId="06FD1CA1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Building construction, materials and condition, especially asbestos-containing pipe wrap, floor tiles, roofing, siding and insulation.</w:t>
      </w:r>
    </w:p>
    <w:p w14:paraId="37401385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Lead paint.</w:t>
      </w:r>
    </w:p>
    <w:p w14:paraId="3039B6A6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Water or mold damage.</w:t>
      </w:r>
    </w:p>
    <w:p w14:paraId="3120D646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Existing structures, particularly for engineering concerns.</w:t>
      </w:r>
    </w:p>
    <w:p w14:paraId="53C8F858" w14:textId="77777777" w:rsid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Fill materials.</w:t>
      </w:r>
    </w:p>
    <w:p w14:paraId="1B8A0B52" w14:textId="77777777" w:rsidR="00E1494C" w:rsidRP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Former uses including dry cleaning, dental or X-ray office, gas station or auto repair, manufacturing, printing or photograph processing, etc.</w:t>
      </w:r>
    </w:p>
    <w:p w14:paraId="66D5F2E6" w14:textId="74F65127" w:rsidR="00E1494C" w:rsidRDefault="00E1494C" w:rsidP="00E1494C">
      <w:pPr>
        <w:numPr>
          <w:ilvl w:val="0"/>
          <w:numId w:val="21"/>
        </w:numPr>
        <w:rPr>
          <w:iCs/>
          <w:color w:val="004A98"/>
        </w:rPr>
      </w:pPr>
      <w:r w:rsidRPr="00E1494C">
        <w:rPr>
          <w:iCs/>
          <w:color w:val="004A98"/>
        </w:rPr>
        <w:t>A cursory review of surrounding property.</w:t>
      </w:r>
    </w:p>
    <w:p w14:paraId="59E8AE42" w14:textId="77777777" w:rsidR="00E1494C" w:rsidRPr="00E1494C" w:rsidRDefault="00E1494C" w:rsidP="00E1494C">
      <w:pPr>
        <w:ind w:left="720"/>
        <w:rPr>
          <w:iCs/>
          <w:color w:val="004A98"/>
        </w:rPr>
      </w:pPr>
    </w:p>
    <w:p w14:paraId="38D45818" w14:textId="77777777" w:rsidR="00E1494C" w:rsidRPr="00E1494C" w:rsidRDefault="00E1494C" w:rsidP="00E1494C">
      <w:pPr>
        <w:ind w:left="360"/>
        <w:rPr>
          <w:iCs/>
          <w:color w:val="004A98"/>
        </w:rPr>
      </w:pPr>
      <w:r w:rsidRPr="00E1494C">
        <w:rPr>
          <w:iCs/>
          <w:color w:val="004A98"/>
        </w:rPr>
        <w:t>The written report outlines the findings from the Phase I ESA and any conclusions that can be made regarding the property.  If environmental contamination may be present, a Phase II Environmental Site Assessment may be recommended.</w:t>
      </w:r>
    </w:p>
    <w:p w14:paraId="6553A7FF" w14:textId="69B23473" w:rsidR="00A52A22" w:rsidRPr="00A52A22" w:rsidRDefault="004B06EB" w:rsidP="00A52A22">
      <w:pP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</w:pPr>
      <w: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  <w:lastRenderedPageBreak/>
        <w:t>Resources: Where can you get help</w:t>
      </w:r>
      <w:r w:rsidR="00A52A22" w:rsidRPr="00A52A22"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  <w:t>?</w:t>
      </w:r>
    </w:p>
    <w:p w14:paraId="281EA8A5" w14:textId="3C522B19" w:rsidR="00E1494C" w:rsidRPr="00E1494C" w:rsidRDefault="00E1494C" w:rsidP="00E1494C">
      <w:pPr>
        <w:rPr>
          <w:b/>
          <w:iCs/>
          <w:color w:val="004A98"/>
        </w:rPr>
      </w:pPr>
      <w:r w:rsidRPr="00E1494C">
        <w:rPr>
          <w:iCs/>
          <w:color w:val="004A98"/>
        </w:rPr>
        <w:t xml:space="preserve">Environmental Site Assessments are performed by private consultants who can often be found in the “Yellow Pages” under the heading of </w:t>
      </w:r>
      <w:r w:rsidRPr="00E1494C">
        <w:rPr>
          <w:i/>
          <w:iCs/>
          <w:color w:val="004A98"/>
        </w:rPr>
        <w:t>Environmental &amp; Ecological Services</w:t>
      </w:r>
      <w:r w:rsidRPr="00E1494C">
        <w:rPr>
          <w:iCs/>
          <w:color w:val="004A98"/>
        </w:rPr>
        <w:t xml:space="preserve"> or </w:t>
      </w:r>
      <w:r w:rsidRPr="00E1494C">
        <w:rPr>
          <w:i/>
          <w:iCs/>
          <w:color w:val="004A98"/>
        </w:rPr>
        <w:t>Consultants - Environmental</w:t>
      </w:r>
      <w:r w:rsidRPr="00E1494C">
        <w:rPr>
          <w:b/>
          <w:iCs/>
          <w:color w:val="004A98"/>
        </w:rPr>
        <w:t>.</w:t>
      </w:r>
    </w:p>
    <w:p w14:paraId="3DD8F4B4" w14:textId="77777777" w:rsidR="00A52A22" w:rsidRPr="00A52A22" w:rsidRDefault="00A52A22" w:rsidP="00A52A22">
      <w:pPr>
        <w:rPr>
          <w:b/>
          <w:color w:val="004A98"/>
        </w:rPr>
      </w:pPr>
    </w:p>
    <w:p w14:paraId="6A61F6EA" w14:textId="2BEE229A" w:rsidR="00A52A22" w:rsidRPr="00EE53C6" w:rsidRDefault="00A52A22" w:rsidP="00A52A22">
      <w:pP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</w:pPr>
      <w:r>
        <w:rPr>
          <w:rFonts w:ascii="Calibri" w:eastAsiaTheme="majorEastAsia" w:hAnsi="Calibri" w:cstheme="majorBidi"/>
          <w:b/>
          <w:bCs/>
          <w:iCs/>
          <w:smallCaps/>
          <w:sz w:val="32"/>
          <w:szCs w:val="26"/>
        </w:rPr>
        <w:t>References:</w:t>
      </w:r>
    </w:p>
    <w:p w14:paraId="6231D7D2" w14:textId="77777777" w:rsidR="00E1494C" w:rsidRPr="00E1494C" w:rsidRDefault="00E1494C" w:rsidP="00E1494C">
      <w:pPr>
        <w:rPr>
          <w:color w:val="004A98"/>
        </w:rPr>
      </w:pPr>
      <w:r w:rsidRPr="00E1494C">
        <w:rPr>
          <w:bCs/>
          <w:color w:val="004A98"/>
        </w:rPr>
        <w:t xml:space="preserve">ASTM International.  June 2013. ASTM E1527-13.  Standard Practice for Environmental Site Assessments: Phase I.  Retrieved from the World Wide Web: </w:t>
      </w:r>
      <w:hyperlink r:id="rId12" w:history="1">
        <w:r w:rsidRPr="00E1494C">
          <w:rPr>
            <w:rStyle w:val="Hyperlink"/>
          </w:rPr>
          <w:t>http://www.astm.org/Standards/E1527.htm</w:t>
        </w:r>
      </w:hyperlink>
    </w:p>
    <w:p w14:paraId="76C7A2B8" w14:textId="2C8E17BF" w:rsidR="00A52A22" w:rsidRPr="00930C6B" w:rsidRDefault="00A52A22" w:rsidP="00E1494C">
      <w:pPr>
        <w:rPr>
          <w:bCs/>
          <w:color w:val="004A98"/>
        </w:rPr>
      </w:pPr>
    </w:p>
    <w:sectPr w:rsidR="00A52A22" w:rsidRPr="00930C6B" w:rsidSect="00EE53C6"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3BDC" w14:textId="77777777" w:rsidR="00D55B6B" w:rsidRDefault="00D55B6B" w:rsidP="00EE3DD5">
      <w:r>
        <w:separator/>
      </w:r>
    </w:p>
  </w:endnote>
  <w:endnote w:type="continuationSeparator" w:id="0">
    <w:p w14:paraId="05765B12" w14:textId="77777777" w:rsidR="00D55B6B" w:rsidRDefault="00D55B6B" w:rsidP="00EE3DD5">
      <w:r>
        <w:continuationSeparator/>
      </w:r>
    </w:p>
  </w:endnote>
  <w:endnote w:type="continuationNotice" w:id="1">
    <w:p w14:paraId="4764BD74" w14:textId="77777777" w:rsidR="00D55B6B" w:rsidRDefault="00D55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643" w14:textId="50CA3566" w:rsidR="00101FBE" w:rsidRDefault="00101FBE" w:rsidP="00101FBE">
    <w:pPr>
      <w:pStyle w:val="Footer"/>
      <w:jc w:val="center"/>
    </w:pPr>
    <w:r>
      <w:rPr>
        <w:noProof/>
        <w:color w:val="004A98"/>
      </w:rPr>
      <w:drawing>
        <wp:inline distT="0" distB="0" distL="0" distR="0" wp14:anchorId="786F5D99" wp14:editId="6366A4BA">
          <wp:extent cx="3341914" cy="812890"/>
          <wp:effectExtent l="0" t="0" r="0" b="0"/>
          <wp:docPr id="2015624052" name="Picture 1" descr="Horizontal DE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24052" name="Picture 1" descr="Horizontal DEQ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914" cy="812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6E8B" w14:textId="77777777" w:rsidR="00D55B6B" w:rsidRDefault="00D55B6B" w:rsidP="00EE3DD5">
      <w:r>
        <w:separator/>
      </w:r>
    </w:p>
  </w:footnote>
  <w:footnote w:type="continuationSeparator" w:id="0">
    <w:p w14:paraId="0A7E3C64" w14:textId="77777777" w:rsidR="00D55B6B" w:rsidRDefault="00D55B6B" w:rsidP="00EE3DD5">
      <w:r>
        <w:continuationSeparator/>
      </w:r>
    </w:p>
  </w:footnote>
  <w:footnote w:type="continuationNotice" w:id="1">
    <w:p w14:paraId="4221F094" w14:textId="77777777" w:rsidR="00D55B6B" w:rsidRDefault="00D55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723"/>
    <w:multiLevelType w:val="hybridMultilevel"/>
    <w:tmpl w:val="B5DAE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07B2"/>
    <w:multiLevelType w:val="multilevel"/>
    <w:tmpl w:val="BD3C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5066"/>
    <w:multiLevelType w:val="hybridMultilevel"/>
    <w:tmpl w:val="5650A58C"/>
    <w:lvl w:ilvl="0" w:tplc="FDC40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916DC"/>
    <w:multiLevelType w:val="hybridMultilevel"/>
    <w:tmpl w:val="85AE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3E1E"/>
    <w:multiLevelType w:val="hybridMultilevel"/>
    <w:tmpl w:val="B4FA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3155"/>
    <w:multiLevelType w:val="hybridMultilevel"/>
    <w:tmpl w:val="8EE2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36BB8"/>
    <w:multiLevelType w:val="hybridMultilevel"/>
    <w:tmpl w:val="794C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9553466"/>
    <w:multiLevelType w:val="hybridMultilevel"/>
    <w:tmpl w:val="F34C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C733D"/>
    <w:multiLevelType w:val="hybridMultilevel"/>
    <w:tmpl w:val="7C50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568E6"/>
    <w:multiLevelType w:val="hybridMultilevel"/>
    <w:tmpl w:val="FC50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13"/>
  </w:num>
  <w:num w:numId="2" w16cid:durableId="1212841264">
    <w:abstractNumId w:val="16"/>
  </w:num>
  <w:num w:numId="3" w16cid:durableId="1271858556">
    <w:abstractNumId w:val="10"/>
  </w:num>
  <w:num w:numId="4" w16cid:durableId="1977566321">
    <w:abstractNumId w:val="19"/>
  </w:num>
  <w:num w:numId="5" w16cid:durableId="1437018301">
    <w:abstractNumId w:val="8"/>
  </w:num>
  <w:num w:numId="6" w16cid:durableId="1996834029">
    <w:abstractNumId w:val="20"/>
  </w:num>
  <w:num w:numId="7" w16cid:durableId="660741885">
    <w:abstractNumId w:val="4"/>
  </w:num>
  <w:num w:numId="8" w16cid:durableId="1846894254">
    <w:abstractNumId w:val="3"/>
  </w:num>
  <w:num w:numId="9" w16cid:durableId="339701694">
    <w:abstractNumId w:val="1"/>
  </w:num>
  <w:num w:numId="10" w16cid:durableId="2032606395">
    <w:abstractNumId w:val="18"/>
  </w:num>
  <w:num w:numId="11" w16cid:durableId="2049721873">
    <w:abstractNumId w:val="12"/>
  </w:num>
  <w:num w:numId="12" w16cid:durableId="485054770">
    <w:abstractNumId w:val="6"/>
  </w:num>
  <w:num w:numId="13" w16cid:durableId="1406878337">
    <w:abstractNumId w:val="9"/>
  </w:num>
  <w:num w:numId="14" w16cid:durableId="753746290">
    <w:abstractNumId w:val="17"/>
  </w:num>
  <w:num w:numId="15" w16cid:durableId="979267164">
    <w:abstractNumId w:val="7"/>
  </w:num>
  <w:num w:numId="16" w16cid:durableId="1512989594">
    <w:abstractNumId w:val="15"/>
  </w:num>
  <w:num w:numId="17" w16cid:durableId="272565922">
    <w:abstractNumId w:val="0"/>
  </w:num>
  <w:num w:numId="18" w16cid:durableId="1474983331">
    <w:abstractNumId w:val="11"/>
  </w:num>
  <w:num w:numId="19" w16cid:durableId="486939515">
    <w:abstractNumId w:val="5"/>
  </w:num>
  <w:num w:numId="20" w16cid:durableId="1056390443">
    <w:abstractNumId w:val="14"/>
  </w:num>
  <w:num w:numId="21" w16cid:durableId="175731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20"/>
    <w:rsid w:val="00014979"/>
    <w:rsid w:val="00021C6E"/>
    <w:rsid w:val="00056740"/>
    <w:rsid w:val="00074C91"/>
    <w:rsid w:val="00077B46"/>
    <w:rsid w:val="0008770D"/>
    <w:rsid w:val="000A0480"/>
    <w:rsid w:val="000A4CE4"/>
    <w:rsid w:val="000B4A62"/>
    <w:rsid w:val="00101FBE"/>
    <w:rsid w:val="0010247D"/>
    <w:rsid w:val="00144A93"/>
    <w:rsid w:val="0015439F"/>
    <w:rsid w:val="00160CCA"/>
    <w:rsid w:val="0016254F"/>
    <w:rsid w:val="00164DA4"/>
    <w:rsid w:val="00165619"/>
    <w:rsid w:val="001746A3"/>
    <w:rsid w:val="00175A30"/>
    <w:rsid w:val="001966BC"/>
    <w:rsid w:val="001A3C65"/>
    <w:rsid w:val="001B5ACF"/>
    <w:rsid w:val="001E158F"/>
    <w:rsid w:val="001E624C"/>
    <w:rsid w:val="00223FE0"/>
    <w:rsid w:val="00233EB7"/>
    <w:rsid w:val="00234457"/>
    <w:rsid w:val="00240E59"/>
    <w:rsid w:val="00262CFE"/>
    <w:rsid w:val="00283A89"/>
    <w:rsid w:val="00293828"/>
    <w:rsid w:val="002A47E3"/>
    <w:rsid w:val="002B66A8"/>
    <w:rsid w:val="002C4EFC"/>
    <w:rsid w:val="002F6747"/>
    <w:rsid w:val="00300D5F"/>
    <w:rsid w:val="003337D0"/>
    <w:rsid w:val="00342F7B"/>
    <w:rsid w:val="00346D5A"/>
    <w:rsid w:val="003814C2"/>
    <w:rsid w:val="003920B2"/>
    <w:rsid w:val="00393737"/>
    <w:rsid w:val="00394D84"/>
    <w:rsid w:val="0039559D"/>
    <w:rsid w:val="0039642E"/>
    <w:rsid w:val="003C0470"/>
    <w:rsid w:val="003D0E9B"/>
    <w:rsid w:val="003F3757"/>
    <w:rsid w:val="00427253"/>
    <w:rsid w:val="00435970"/>
    <w:rsid w:val="00436264"/>
    <w:rsid w:val="00441F2F"/>
    <w:rsid w:val="004452E9"/>
    <w:rsid w:val="00453D71"/>
    <w:rsid w:val="00466657"/>
    <w:rsid w:val="00482D9A"/>
    <w:rsid w:val="004935E4"/>
    <w:rsid w:val="004A28CC"/>
    <w:rsid w:val="004B06EB"/>
    <w:rsid w:val="004C034C"/>
    <w:rsid w:val="004C1086"/>
    <w:rsid w:val="004C132D"/>
    <w:rsid w:val="004C290A"/>
    <w:rsid w:val="00507DF7"/>
    <w:rsid w:val="00514A1B"/>
    <w:rsid w:val="005666D0"/>
    <w:rsid w:val="00591BF9"/>
    <w:rsid w:val="00597C82"/>
    <w:rsid w:val="005A2BBC"/>
    <w:rsid w:val="005C4C84"/>
    <w:rsid w:val="005C6CC1"/>
    <w:rsid w:val="005E53EA"/>
    <w:rsid w:val="005E58F4"/>
    <w:rsid w:val="00610304"/>
    <w:rsid w:val="00611150"/>
    <w:rsid w:val="0061668D"/>
    <w:rsid w:val="00667B58"/>
    <w:rsid w:val="006B487A"/>
    <w:rsid w:val="006F1F70"/>
    <w:rsid w:val="00707526"/>
    <w:rsid w:val="007506A9"/>
    <w:rsid w:val="00756627"/>
    <w:rsid w:val="00757E1F"/>
    <w:rsid w:val="0076084D"/>
    <w:rsid w:val="00782811"/>
    <w:rsid w:val="00793897"/>
    <w:rsid w:val="007B1B96"/>
    <w:rsid w:val="007B1DC4"/>
    <w:rsid w:val="007E1A5A"/>
    <w:rsid w:val="00805725"/>
    <w:rsid w:val="00831E07"/>
    <w:rsid w:val="00847BA7"/>
    <w:rsid w:val="00856461"/>
    <w:rsid w:val="008565AC"/>
    <w:rsid w:val="008644FF"/>
    <w:rsid w:val="00874764"/>
    <w:rsid w:val="008748DB"/>
    <w:rsid w:val="00881DAF"/>
    <w:rsid w:val="008965A9"/>
    <w:rsid w:val="008A3AFB"/>
    <w:rsid w:val="008B7200"/>
    <w:rsid w:val="008D545C"/>
    <w:rsid w:val="008E3381"/>
    <w:rsid w:val="00930C6B"/>
    <w:rsid w:val="00955485"/>
    <w:rsid w:val="0095566F"/>
    <w:rsid w:val="00961D31"/>
    <w:rsid w:val="00990A89"/>
    <w:rsid w:val="009C1852"/>
    <w:rsid w:val="009C686B"/>
    <w:rsid w:val="009E595D"/>
    <w:rsid w:val="009E7234"/>
    <w:rsid w:val="00A246ED"/>
    <w:rsid w:val="00A31130"/>
    <w:rsid w:val="00A3286C"/>
    <w:rsid w:val="00A47BB8"/>
    <w:rsid w:val="00A52A22"/>
    <w:rsid w:val="00AA02E6"/>
    <w:rsid w:val="00AB0919"/>
    <w:rsid w:val="00AD693D"/>
    <w:rsid w:val="00AE3508"/>
    <w:rsid w:val="00AF2716"/>
    <w:rsid w:val="00B0771F"/>
    <w:rsid w:val="00B07C7A"/>
    <w:rsid w:val="00B11051"/>
    <w:rsid w:val="00B132B1"/>
    <w:rsid w:val="00B26EA0"/>
    <w:rsid w:val="00B3074A"/>
    <w:rsid w:val="00B446FC"/>
    <w:rsid w:val="00B84814"/>
    <w:rsid w:val="00BC5A96"/>
    <w:rsid w:val="00BE35D0"/>
    <w:rsid w:val="00BF1F5A"/>
    <w:rsid w:val="00BF6473"/>
    <w:rsid w:val="00C115CA"/>
    <w:rsid w:val="00C51DEA"/>
    <w:rsid w:val="00C72612"/>
    <w:rsid w:val="00C806E6"/>
    <w:rsid w:val="00CB4DB7"/>
    <w:rsid w:val="00CD7056"/>
    <w:rsid w:val="00CD7B11"/>
    <w:rsid w:val="00CE1153"/>
    <w:rsid w:val="00CF2625"/>
    <w:rsid w:val="00D360C5"/>
    <w:rsid w:val="00D5283F"/>
    <w:rsid w:val="00D54628"/>
    <w:rsid w:val="00D55B6B"/>
    <w:rsid w:val="00D63D20"/>
    <w:rsid w:val="00D7198A"/>
    <w:rsid w:val="00D8464A"/>
    <w:rsid w:val="00DD62FB"/>
    <w:rsid w:val="00E04DB4"/>
    <w:rsid w:val="00E1494C"/>
    <w:rsid w:val="00E56496"/>
    <w:rsid w:val="00E66E9F"/>
    <w:rsid w:val="00E7167D"/>
    <w:rsid w:val="00E76645"/>
    <w:rsid w:val="00E83CE5"/>
    <w:rsid w:val="00ED49C5"/>
    <w:rsid w:val="00EE3DD5"/>
    <w:rsid w:val="00EE53C6"/>
    <w:rsid w:val="00F1376F"/>
    <w:rsid w:val="00F35A0D"/>
    <w:rsid w:val="00F60B3C"/>
    <w:rsid w:val="00F60F38"/>
    <w:rsid w:val="00F713F2"/>
    <w:rsid w:val="00F72F21"/>
    <w:rsid w:val="00F85F0A"/>
    <w:rsid w:val="00F95DB5"/>
    <w:rsid w:val="00FC40F7"/>
    <w:rsid w:val="00FD45C7"/>
    <w:rsid w:val="00FD51A8"/>
    <w:rsid w:val="00FD53A4"/>
    <w:rsid w:val="00FF29E2"/>
    <w:rsid w:val="28E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4BC4"/>
  <w15:chartTrackingRefBased/>
  <w15:docId w15:val="{8531A5D9-D3CC-405B-B492-6329DC3F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4B06EB"/>
    <w:pPr>
      <w:spacing w:after="0" w:line="240" w:lineRule="auto"/>
    </w:pPr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B446FC"/>
  </w:style>
  <w:style w:type="character" w:customStyle="1" w:styleId="normaltextrun">
    <w:name w:val="normaltextrun"/>
    <w:basedOn w:val="DefaultParagraphFont"/>
    <w:rsid w:val="00293828"/>
  </w:style>
  <w:style w:type="character" w:customStyle="1" w:styleId="eop">
    <w:name w:val="eop"/>
    <w:basedOn w:val="DefaultParagraphFont"/>
    <w:rsid w:val="00293828"/>
  </w:style>
  <w:style w:type="paragraph" w:customStyle="1" w:styleId="paragraph">
    <w:name w:val="paragraph"/>
    <w:basedOn w:val="Normal"/>
    <w:rsid w:val="002938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02E6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78281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6657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4B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tm.org/Standards/E1527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51c27a8c-5fee-469a-bc01-c7a584e9f1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535C0BA2BC85EB418479F241665C9DBF" ma:contentTypeVersion="0" ma:contentTypeDescription="A Microsoft InfoPath Form Template." ma:contentTypeScope="" ma:versionID="dd75a2b93d8008d82e52e1c436948b5a">
  <xsd:schema xmlns:xsd="http://www.w3.org/2001/XMLSchema" xmlns:xs="http://www.w3.org/2001/XMLSchema" xmlns:p="http://schemas.microsoft.com/office/2006/metadata/properties" xmlns:ns2="51c27a8c-5fee-469a-bc01-c7a584e9f12f" targetNamespace="http://schemas.microsoft.com/office/2006/metadata/properties" ma:root="true" ma:fieldsID="48c5b781b7a924d5312c065567f936ba" ns2:_="">
    <xsd:import namespace="51c27a8c-5fee-469a-bc01-c7a584e9f12f"/>
    <xsd:element name="properties">
      <xsd:complexType>
        <xsd:sequence>
          <xsd:element name="documentManagement">
            <xsd:complexType>
              <xsd:all>
                <xsd:element ref="ns2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7a8c-5fee-469a-bc01-c7a584e9f12f" elementFormDefault="qualified">
    <xsd:import namespace="http://schemas.microsoft.com/office/2006/documentManagement/types"/>
    <xsd:import namespace="http://schemas.microsoft.com/office/infopath/2007/PartnerControls"/>
    <xsd:element name="CustomContentTypeId" ma:index="8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C163-0CA1-4F08-B95E-1DF21154A84C}">
  <ds:schemaRefs>
    <ds:schemaRef ds:uri="http://schemas.microsoft.com/office/2006/metadata/properties"/>
    <ds:schemaRef ds:uri="http://schemas.microsoft.com/office/infopath/2007/PartnerControls"/>
    <ds:schemaRef ds:uri="51c27a8c-5fee-469a-bc01-c7a584e9f12f"/>
  </ds:schemaRefs>
</ds:datastoreItem>
</file>

<file path=customXml/itemProps2.xml><?xml version="1.0" encoding="utf-8"?>
<ds:datastoreItem xmlns:ds="http://schemas.openxmlformats.org/officeDocument/2006/customXml" ds:itemID="{22AB1F64-F5F2-4C58-94BA-D7F77454F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7a8c-5fee-469a-bc01-c7a584e9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0FFF3-92B2-4AAF-8719-5E93D6909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Fact Sheet</vt:lpstr>
    </vt:vector>
  </TitlesOfParts>
  <Company/>
  <LinksUpToDate>false</LinksUpToDate>
  <CharactersWithSpaces>3280</CharactersWithSpaces>
  <SharedDoc>false</SharedDoc>
  <HLinks>
    <vt:vector size="6" baseType="variant"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https://deq.mt.gov/Portals/112/Water/WPB/SWP/PDFs/SaniWellCapsVent.pdf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Fact Sheet</dc:title>
  <dc:subject/>
  <dc:creator>Veith, Kamryn</dc:creator>
  <cp:keywords/>
  <dc:description/>
  <cp:lastModifiedBy>Veith, Kamy</cp:lastModifiedBy>
  <cp:revision>2</cp:revision>
  <dcterms:created xsi:type="dcterms:W3CDTF">2025-12-08T15:41:00Z</dcterms:created>
  <dcterms:modified xsi:type="dcterms:W3CDTF">2025-12-08T15:41:00Z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Guidance Owner">
    <vt:lpwstr>Policy</vt:lpwstr>
  </property>
  <property fmtid="{D5CDD505-2E9C-101B-9397-08002B2CF9AE}" pid="4" name="Guidance Type">
    <vt:lpwstr>POL – Comms</vt:lpwstr>
  </property>
  <property fmtid="{D5CDD505-2E9C-101B-9397-08002B2CF9AE}" pid="5" name="Guidance Description">
    <vt:lpwstr>Branded fact sheet template for programs to describe their projects externally to stakeholders and the public. Template is digitally accessible.</vt:lpwstr>
  </property>
</Properties>
</file>